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19 206 vom 31. März 2022</w:t>
      </w:r>
    </w:p>
    <w:p>
      <w:r>
        <w:t>VS Kantonsgericht, 2022-03-31, FR</w:t>
      </w:r>
    </w:p>
    <w:p>
      <w:r>
        <w:rPr>
          <w:b/>
        </w:rPr>
        <w:t xml:space="preserve">Quelle: </w:t>
      </w:r>
      <w:r>
        <w:t>https://mcp.opencaselaw.ch/entscheid/vs_gerichte_S1 19 206</w:t>
      </w:r>
    </w:p>
    <w:p>
      <w:r>
        <w:t>FR: VS_GERICHTE S1 19 206 du 31 mars 2022</w:t>
      </w:r>
    </w:p>
    <w:p>
      <w:r>
        <w:t>IT: VS_GERICHTE S1 19 206 del 31 marzo 2022</w:t>
      </w:r>
    </w:p>
    <w:p>
      <w:pPr>
        <w:pStyle w:val="Heading2"/>
      </w:pPr>
      <w:r>
        <w:t>Regeste</w:t>
      </w:r>
    </w:p>
    <w:p>
      <w:r>
        <w:t>S1 19 206 JUGEMENT DU 31 MARS 2022 Tribunal cantonal du Valais Cour des assurances sociales Composition : Candido Prada, président ; Jean-Bernard Fournier et Christophe Joris, juges ; Véronique Largey, greffière en la cause HOIRIE DE FEU X _________, recourante, représentée par Maître Guillaume Grand, avocat, 1950 Sion 2 Nord contre OFFICE CANTONAL AI DU VALAIS, 1950 Sion, intimé (assurance-invalidité ; valeur probante d’une expertise médicale, revenus avec et sans invalidité) Faits</w:t>
      </w:r>
    </w:p>
    <w:p>
      <w:pPr>
        <w:pStyle w:val="Heading2"/>
      </w:pPr>
      <w:r>
        <w:t>Erwägungen</w:t>
      </w:r>
    </w:p>
    <w:p>
      <w:r>
        <w:rPr>
          <w:b/>
        </w:rPr>
        <w:t>E. 1</w:t>
      </w:r>
    </w:p>
    <w:p>
      <w:r>
        <w:t>CC, acquis de plein droit l'universalité de la succession et sont devenus pleinement titulaires des droits et obligations du défunt, y compris de la prétention à la rente d'invalidité, ainsi que des expectatives de droit (art. 560 al. 2 CC, ATF 141 V 170 consid. 4.3, arrêt du Tribunal fédéral 9C_707/2020 du 11 mai 2021 consid. 2.2 et les références). Au vu de ce qui précède, les héritiers de feu X _________ ont qualité pour recourir, selon l’article 59 LPGA, contre la décision d’octroi rétroactif d’une rente entière d’invalidité du 1er mai au 31 octobre 2015 prononcée le 2 septembre 2019, soit postérieurement au décès de l’assuré le 18 janvier précédent, en concluant à l’allocation d’une telle rente du 1er mai 2015 au 31 janvier 2019. 2.1 Le présent litige porte sur le droit à la rente d’invalidité. A cet égard, ont été contestés tant les revenus à comparer selon l’article 16 LPGA que la capacité résiduelle de travail dans une activité adaptée. En premier lieu, la recourante s’est opposée aux conclusions y relatives du SMR, en particulier aux critiques émises par celui-ci au sujet de la valeur probante du volet psychiatrique de l’expertise du I _________. Si l’assureur doit recourir aux services d’un expert indépendant pour élucider les faits, il donne connaissance du nom de celui-ci aux parties. Celles-ci peuvent récuser l’expert pour des raisons pertinentes et présenter des contre-propositions (art. 44 LPGA, dans sa teneur jusqu’au 31 décembre 2021). Les principes jurisprudentiels posés pour apprécier la valeur probante d’un rapport médical ont été rappelés dans la décision entreprise. Il peut donc y être fait référence. Dans son arrêt 9C_492/2014 du 3 juin 2015 paru aux ATF 141 V 281, le Tribunal fédéral a en outre fixé de nouvelles exigences d’instruction pour les atteintes psychosomatiques. La présomption qui prévalait jusqu’à ce jour, selon laquelle ces atteintes pouvaient être surmontées en règle générale par un effort de volonté raisonnablement exigible, est abandonnée. Désormais, la capacité de travail réellement exigible de la personne concernée doit être évaluée, sur la base des circonstances du cas particulier et sans résultat prédéfini, dans le cadre d’une procédure d’établissement des faits structurée au moyen d’un catalogue d’indicateurs relevant de deux catégories, celle du degré de gravité fonctionnelle de l’atteinte à la santé et celle de la cohérence du point de vue du comportement de la personne assurée. Tel que jugé dans les arrêts 8C_841/2016 du 30 novembre 2017 paru aux ATF 143 V 409 et 8C_130/2017 du 30 novembre 2017 paru</w:t>
      </w:r>
    </w:p>
    <w:p>
      <w:r>
        <w:t>- 20 - aux ATF 143 V 418, l’application de cette procédure probatoire structurée a été étendue aux cas de troubles dépressifs de degré léger à moyen, respectivement à toutes les affections psychiques. 2.2.1 Le Dr L _________ du SMR s’est fondé sur les réponses données le 21 janvier 2019 par les experts du I _________, en particulier sous l’angle psychiatrique (pièce 181), pour conclure de manière cohérente, motivée et convaincante, dans son rapport final du 15 mars 2019, qu’au vu des nombreux éléments contradictoires y relatifs, la partie psychiatrique de l’expertise du I _________ ne revêtait aucune valeur probante et qu’en conséquence, aucun diagnostic psychiatrique incapacitant ne pouvait être retenu (pièce 191). Les critiques formulées dans le mémoire de recours au sujet de cet avis clair et circonstancié ne permettent pas d’aboutir à un autre résultat. Il appartient notamment aux autorités administratives puis judiciaires, dans le cadre de leur obligation d’établir les faits déterminants pour le droit aux prestations d’assurance en vertu des articles 43 alinéa 1, respectivement 61 lettre c LPGA, d’apprécier la valeur probante des rapports médicaux figurant au dossier, alors que les personnes qui procèdent à une telle évaluation ne sont généralement pas des médecins. A fortiori, un médecin œuvrant au sein d’un organisme d’assurance est encore plus apte à réaliser cette analyse, même s’il ne dispose pas de la spécialisation dans laquelle a été rédigé le rapport médical soumis à son appréciation. Contrairement à ce que la recourante a prétendu dans ledit mémoire, l’Office AI n’a pas repris telles quelles, en défaveur de l’assuré, les contradictions relevées dans l’expertise psychiatrique du I _________. Il a bien plutôt déféré à son devoir d’instruction en requérant auprès de l’experte-psychiatre, le 22 novembre 2018, des éclaircissements supplémentaires (pièce 177) sur les éléments manquants, confus ou contradictoires énumérés très précisément, le 2 novembre précédent, par le Dr L _________ (pièce 172). Les réponses apportées le 21 janvier 2019 par les experts concernés du I _________ (pièce 181) ont suffi au médecin du SMR pour dénier, dans son rapport final du 15 mars suivant, toute valeur probante au volet psychiatrique du rapport d’expertise du 27 août 2018 (pièce 191). Dans ces circonstances, le Dr L _________ n’a pas estimé nécessaire d’interpeller une nouvelle fois l’experte-psychiatre du I _________ avant d’examiner la force probante de ce volet. Quant aux arguments avancés dans le recours concernant l’explicitation, au moyen des diagnostics posés par l’experte spécialisée, des affections psychiques plus générales rapportées dans l’évaluation consensuelle du rapport d’expertise précité, ils ne convainquent guère. Dans ses précisions relatives aux diagnostics psychiatriques</w:t>
      </w:r>
    </w:p>
    <w:p>
      <w:r>
        <w:t>- 21 - retenus dans le rapport d’expertise du 27 août 2018, cette experte a indiqué que l’assuré remplissait les critères diagnostiques de la CIM-10, alors encore en vigueur, pour un état dépressif d’intensité moyenne à l’heure actuelle (pièce 159). Elle n’a cependant pas énoncé les critères en question ni, surtout, explicitement posé le diagnostic officiel d’épisode dépressif moyen selon cette classification, muni du code diagnostique correspondant F32.1. A suivre le complément d’information apporté le 21 janvier 2019 à ce sujet, l’état dépressif d’intensité moyenne figurait dans le rapport d’expertise en tant que diagnostic sans incidence sur la capacité de travail de trouble de l’adaptation (F43.2), qui comprenait des symptômes dépressifs (pièce 181). Tel que cela ressort de leurs codes diagnostiques distincts selon la CIM-10, les troubles de l’adaptation ne sont toutefois pas assimilables aux épisodes dépressifs, puisque ceux-là sont classés sous la catégorie F40-F48 (troubles névrotiques, troubles liés à des facteurs de stress et troubles somatoformes) et ceux-ci figurent sous la rubrique F30-F39 (troubles de l'humeur [affectifs]). Au vu des codes respectifs différents de la CIM-10, est également incorrecte l’allégation de la recourante dans le mémoire du 3 octobre 2019, selon laquelle le trouble délirant persistant (F22.0) était inclus dans les troubles mentaux et du comportement liés à la consommation d’alcool, syndrome amnésique (F10.5). Ce trouble délirant persistant, tour à tour estimé avec effet sur la capacité de travail dans le rapport d’expertise du 27 août 2018 (pièce 159) puis sans un tel retentissement dans les réponses données le 21 janvier 2019 par les experts concernés du I _________ (pièce 181), relève en effet des affections F20-F29 (schizophrénie, trouble schizotypique et troubles délirants) dans la CIM-10. Les troubles mentaux et du comportement liés à la consommation d’alcool, syndrome amnésique, sont englobés quant à eux dans le groupe F10-F19 (troubles mentaux et du comportement liés à l'utilisation de substances psychoactives). Il convient de relever au passage que c’est le code F10.6 qui correspond au diagnostic précité, le code F10.5 étant relatif aux troubles mentaux et du comportement liés à l'utilisation d'alcool, trouble psychotique. Compte tenu des motifs invoqués de manière détaillée et pertinente par le Dr L _________ dans son rapport final du 15 mars 2019 (pièce 191), il est au demeurant exclu de considérer lesdits troubles comme incapacitants. Tel semble avoir été le cas à l’époque de l’examen neuropsychologique et logopédique, qui a été pratiqué entre le 28 février et le 3 avril 2017 (pièce 124) et aux résultats duquel les experts du I _________ se sont expressément référés pour retenir le diagnostic correspondant (pièce 159). La raison de l’incapacité de l’assuré à exercer une activité professionnelle en milieu non protégé résidait, de l’avis de la personne non médecin ayant effectué cet examen, dans le fait que la symptomatologie alors mise en évidence s’inscrivait dans les suites d’une encéphalopathie hépatique puis d’un sevrage alcoolique (pièce 124). En date du 9 mars</w:t>
      </w:r>
    </w:p>
    <w:p>
      <w:r>
        <w:t>- 22 - 2015, la Dresse C _________ a en effet rapporté qu’à cause des troubles du système nerveux central liés à l’encéphalopathie hépatique, l’activité exercée n’était plus exigible, qu’une réadaptation professionnelle n’était pas envisageable et que le patient souffrant d’une cirrhose décompensée, sa capacité de travail dans une activité standard se limitait à 30% au maximum (pièces 59 et 60). Le 10 janvier 2017, soit un peu plus d’un mois et demi seulement avant le début de l’examen neuropsychologique et logopédique précité, cette même gastro-entérologue a, en revanche, signalé l’absence de signe d’encéphalopathie hépatique à la consultation d’août 2016 et retenu qu’une cirrhose compensée pouvait entraîner, à cause d’une fatigabilité accrue en cours de journée, une incapacité de travail de 30% au plus (pièce 109, pages 359 et 360). A noter que dans son rapport final du 15 mars 2019, le Dr L _________ a classé les troubles mentaux et du comportement liés à l'utilisation d'alcool, avec le code diagnostique F10.9, parmi les diagnostics sans répercussion sur la capacité de travail (pièce 191) et qu’une encéphalopathie hépatique de grade 2 a de nouveau été mise en évidence au cours de l’hospitalisation ayant précédé le décès de l’assuré en date du 18 janvier 2019 (pièce 185). Les experts du I _________ ont conclu à une incapacité totale de travail dans toute activité depuis mai 2014, en raison de la dépression ainsi que des troubles mentaux et du comportement (pièce 159). Il ressort pourtant de ce qui précède qu’aucun des diagnostics psychiatriques retenus dans leur rapport du 27 août 2018 n’a d’influence sur la capacité de travail. De plus, comme relevé à juste titre par le Dr L _________ dans le rapport final du 15 mars 2019, la documentation médicale ne comportait aucun élément en faveur d’une affection psychique ou neuropsychologiques avant la fin de l’année 2016, si bien que de tels troubles n’ont pas pu être à l’origine d’une quelconque incapacité à partir de mai 2014 déjà (pièce 191). En ce qui concerne enfin la référence, mentionnée dans les informations complémentaires du I _________ datées du 21 janvier 2019 (pièce 181) et dans le recours du 3 octobre suivant, aux atteintes physiques afin de justifier cette incapacité totale de travail dans toute activité dès le mois de mai 2014, ces atteintes ont effectivement entraîné une incapacité totale de travail depuis le 23 mai 2014 dans les activités habituelles de menuisier et de cuisinier (pièces 3, 9, 33, 77, 159 et 191). Par contre, le spécialiste en médecine physique et réadaptation du SMR a estimé, le 17 décembre 2015, que les troubles somatiques permettaient l’exercice à plein temps d’une activité adaptée à compter du 29 juillet 2015 (pièce 77). Dans leur rapport du 27 août 2018, les experts du I _________ ont retenu pour leur part que ces troubles n’entraînaient qu’une baisse de rendement de 30% dans une activité adaptée, qu’ils ont décrite avec précision, à partir du 29 juillet 2015 également (pièce 159). Cette conclusion</w:t>
      </w:r>
    </w:p>
    <w:p>
      <w:r>
        <w:t>- 23 - a été reprise telle quelle dans le rapport final du 15 mars 2019 (pièce 191). Les affections purement somatiques n’ont donc jamais constitué la cause d’une pleine incapacité dans une activité adaptée depuis mai 2014, de sorte que la justification y relative donnée le 21 janvier 2019 par l’experte-psychiatre du I _________ (pièce 181) tombe à faux. 2.2.2.1 La recourante a argué, dans son mémoire du 3 octobre 2019, que l’absence d’évaluation de l’état psychiatrique à la lumière des critères jurisprudentiels topiques ne pouvait pas être utilisée pour nier la pertinence du diagnostic psychiatrique et qu’une telle évaluation aurait dû être sollicitée de la part de l’experte-psychiatre. Sur injonction du Dr L _________ en date du 2 novembre 2018 (pièce 172), l’intimé a bien demandé à celle-ci, par lettre du 22 novembre suivant, de procéder à l’analyse en question (pièce 177). La spécialiste concernée du I _________ s’est bornée à répondre à cet égard, le 21 janvier 2019, que l’état dépressif d’intensité moyenne figurait dans le rapport d’expertise en tant que diagnostic sans incidence sur la capacité de travail de trouble de l’adaptation et que ledit trouble n’étant pas incapacitant, l’examen de cet aspect à la lumière des indicateurs de la jurisprudence devenait sans objet (pièce 181). Conformément à l’ATF 143 V 418, toutes les affections psychiques sont désormais soumises à la procédure probatoire structurée. L’examen des indicateurs jurisprudentiels correspondants permet en l’espèce d’exclure toute influence de ces troubles sur la capacité de travail de l’assuré. 2.2.2.2 Dans la catégorie du degré de gravité fonctionnel, il a été relevé plus haut que l’état dépressif moyen n’a pas été diagnostiqué en référence au code correspondant de la CIM-10 et que les autres atteintes d’ordre psychiatrique, à savoir les troubles mentaux et du comportement liés à la consommation d’alcool, le trouble délirant persistant et le trouble de l’adaptation, réaction dépressive prolongée, n’atteignaient pas un degré de gravité propre à influer sur la capacité de travail. Certains motifs d’exclusion, sous forme d’incohérences entre les déclarations de l’assuré au sujet de ses capacités à la marche et de la quantité journalière d’alcool consommé, ont en outre été relevés par les experts du I _________ (pièce 159). Pour ce qui a trait au succès du traitement ou à une résistance à cet égard, l’assuré a, de son propre gré, consulté un psychiatre au début de l’année 2017 (pièce 128). Il a de plus admis, lors de l’examen psychiatrique du 11 mai 2018 auprès du I _________, que le fait de parler serait bénéfique. Après trois consultations, il a toutefois interrompu lui- même ce suivi (pièces 128 et 159). Selon les experts du I _________, un traitement antidépresseur était contre-indiqué en raison d’une possible hépatotoxicité. Un suivi</w:t>
      </w:r>
    </w:p>
    <w:p>
      <w:r>
        <w:t>- 24 - psychologique visant à retrouver puis à maintenir une abstinence, à apporter un soutien en relation avec la dépression et à évaluer régulièrement les capacités cognitives était hautement souhaitable. Une telle thérapie, qui avait notamment pour but d’aider l’assuré à admettre que l’alcoolisme était à l’origine de l’hépatopathie et à se rendre compte des risques liés à sa reprise, modérée, de consommation d’alcool, était médicalement indiquée, et même jugée importante par les experts en vue de la reprise d’une activité professionnelle. Ce type de suivi n’a apparemment jamais été sollicité par l’assuré qui s’est borné à appliquer des méthodes de pleine conscience ou, en deuxième recours, à prendre un anxiolytique (Lexotanil®) à raison d’une à deux fois par mois, pour maîtriser ses accès de colère (pièce 159). Le 29 octobre 2014 déjà, le médecin traitant avait jugé qu’une réadaptation professionnelle était envisageable dans une activité adaptée, à un taux d’occupation de 40% pour commencer (pièce 33). L’experte-psychiatre du I _________ a relevé, dans le rapport du 27 août 2018, que l’apprentissage de nouvelles tâches étant entravé et le patient disposant de peu de ressources à cet égard, des mesures de réadaptation ne pouvaient pas être mises en place à cette époque (pièce 159). Il est à supposer qu’aux yeux de cette experte, la restriction desdites capacités d’apprentissage résultait des troubles mentaux et du comportement liés à la consommation d’alcool. Cette spécialiste a cependant qualifié les troubles en question de légers à modérés (pièce 159) et leur influence sur la capacité de travail a été niée ci-dessus. Comme souligné par le Dr L _________ en date du 2 novembre 2018 (pièce 172), le manque de ressources évoqué dans la partie psychiatrique de l’expertise du I _________ a été contredit dans l’évaluation consensuelle de cette même expertise. D’après les informations y figurant, l’assuré avait fait montre de beaucoup de volonté pour récupérer la fonction de son membre supérieur droit, dont l’état s’était déjà bien amélioré. Ses ressources se manifestaient également par le fait que, tous les jours, il faisait des tableaux à la peinture à l’huile (pièce 159). Par décision du 12 décembre 2016, l’Office AI avait refusé l’octroi d’un reclassement professionnel, en raison d’un taux d’invalidité alors fixé à 8% seulement (pièce 101). Dans le cadre de l’obligation incombant à l’assuré de réduire autant que possible le préjudice subi, la reprise d’une activité professionnelle, adaptée à ses limitations physiques et tenant compte d’une baisse de rendement de 30%, pouvait néanmoins être exigée de sa part à titre de réadaptation par lui-même. Des recherches d’emplois en ce sens ne ressortent pourtant pas du dossier. Il est au surplus établi et d’ailleurs non contesté que les comorbidités somatiques incapacitantes, retenues dans le rapport d’expertise du I _________ du 27 août 2018</w:t>
      </w:r>
    </w:p>
    <w:p>
      <w:r>
        <w:t>- 25 - (pièce 159) et rappelées dans l’appréciation finale du SMR du 15 mars 2019 (pièce 191), permettent l’exercice à plein temps d’une telle activité, avec une diminution de rendement de 30%. Enfin, selon les indications figurant dans l’évaluation consensuelle des experts du I _________, l’assuré ne souffrait pas d’un trouble de la personnalité. Il possédait de bonnes ressources personnelles. Il vivait dans un environnement familial stable et était bien soutenu par ses proches (pièce 159). Les explications données par l’assuré au sujet du contexte social, au cours d’un entretien du 2 décembre 2014 auprès de l’Office AI, allaient dans le même sens. Il avait trois enfants adultes habitant près de chez lui et son épouse et entretenait de bons contacts avec eux qui le soutenaient. Il disposait en outre d’un réseau dans le domaine de la charpente et de la menuiserie (pièce 41). Lors de l’examen psychiatrique du 11 mai 2018 au I _________, il a été mentionné que l’élan vital de l’expertisé était encore présent pour envisager des activités avec ses proches. Celui-ci aimait voir sa famille et ses petits-enfants. Il formait un couple très lié avec son épouse qui travaillait à temps partiel. Il avait une vie sociale restreinte en dehors de sa famille mais était très bien intégré dans la société suisse. Il avait suffisamment de ressources et était suffisamment entouré par sa famille pour pouvoir gérer ses pertes sans sombrer dans une mélancolie (pièce 159). 2.2.2.3 Au chapitre de la cohérence du point de vue du comportement de l’assuré, le Dr L _________ a pertinemment fait remarquer, dans son rapport final du 15 mars 2019 (pièce 191) que la journée-type décrite pendant l’examen de médecine interne générale du 9 mai 2018 au I _________ avait révélé la capacité de l’assuré de s’adonner à des activités variées, dont certaines relativement physiques, telles que conduire l’épouse au travail, faire quotidiennement soixante minutes de vélo, par étapes, et quarante minutes de marche, préparer les repas de midi et du soir, laver la vaisselle, passer l’aspirateur, aller chercher les petits-enfants à la crèche, faire de la peinture à l’huile, lire des livres d’histoire et regarder un film le soir. Certes, l’expertisé a rapporté à la spécialiste en psychiatrie être fatigable et ralenti lorsqu’il effectuait les tâches quotidiennes. Ne saurait toutefois être suivie la conclusion des experts du I _________, selon laquelle les limitations fonctionnelles psychiatriques, soit une asthénie et une fatigabilité, des troubles cognitifs ainsi qu’une baisse de l’humeur, avaient un impact non seulement sur l’exercice du métier de menuisier et de toute activité adaptée, mais aussi sur l’accomplissement des travaux habituels, sur les déplacements et sur l’autonomie du patient. L’abandon de certaines activités antérieures aux atteintes à la santé, comme la pêche, la cueillette des champignons et l’ornithologie, semble plutôt dû aux limitations</w:t>
      </w:r>
    </w:p>
    <w:p>
      <w:r>
        <w:t>- 26 - fonctionnelles somatiques, ce d’autant plus que ces loisirs ont été cités dans le cadre de l’expertise orthopédique. La peinture à l’huile a par contre été maintenue comme par le passé (pièce 159). Dans ces circonstances, une restriction uniforme du niveau des activités dans tous les domaines comparables de la vie ne peut être retenue en l’espèce. Tel que tranché précédemment, les troubles psychiques de l’assuré n’avaient pas de répercussion sur la capacité à exercer les activités professionnelles tant antérieures qu’adaptées. Ils n'en avaient a fortiori non plus pas sur l’accomplissement des tâches ménagères, des travaux habituels et d’autres activités quotidiennes ni sur les loisirs. Le poids des souffrances doit finalement être relativisé, étant donné que l’assuré n’avait pas été demandeur du suivi thérapeutique pourtant jugé hautement souhaitable dans son cas. Il n’avait non plus pas procédé à des démarches en vue de trouver un emploi compatible avec son état de santé physique. C’est ainsi à juste titre que l’Office AI a, dans la décision entreprise, écarté toute incapacité de travail pour des raisons psychiatriques et déterminé l’invalidité de l’assuré en retenant plus particulièrement, à compter du 29 juillet 2015, une baisse de rendement de 30% dans une activité adaptée aux seules limitations somatiques. 3.1 Dans un deuxième moyen, la recourante a contesté le revenu annuel d’invalide de 44 368 fr. 10 fixé dans la décision du 2 septembre 2019, qu’elle a estimé correspondre à 39 932 fr. dans son mémoire du 3 octobre 2019, puis à 34 083 fr. dans sa détermination du 28 novembre suivant. 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Quant à l’article 26bis alinéa 3 RAI, dans sa nouvelle teneur depuis le 1er janvier 2022, il prévoit que si, du fait de l’invalidité, les capacités fonctionnelles de l’assuré au sens de l’article 49 alinéa 1bis RAI ne lui permettent de travailler qu’à un taux d’occupation de 50% ou moins, une déduction de 10% pour le travail à temps partiel est opérée sur la valeur statistique. Selon l’article 88a alinéa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w:t>
      </w:r>
    </w:p>
    <w:p>
      <w:r>
        <w:t>- 27 - duré trois mois déjà, sans interruption notable et sans qu’une complication prochaine soit à craindre. La décision querellée ainsi que la réponse de l’intimé du 5 novembre 2019 exposent déjà les développements jurisprudentiels relatifs à la détermination du revenu d’invalide prévu par l’article 16 LPGA, à savoir le recours au salaire topique de l’ESS lorsque depuis la survenance de l’atteinte à la santé, la personne assurée n’exerce pas d’activité exigible (ATF 135 V 297 consid. 5.2 et les références, 129 V 472 consid. 4.2.1, 126 V 75 consid. 3b/aa, 124 V 321 consid. 3b/aa et 117 V 8 consid. 2c/aa, arrêt du Tribunal fédéral des assurances U 196/02 du 23 janvier 2003 consid. 4.3), la notion de marché équilibré du travail (ATF 110 V 273 consid. 4b, arrêt du Tribunal fédéral 9C_659/2014 du 13 mars 2015 consid. 5.3.2), l’existence sur ce marché d’un large éventail d’activités simples, répétitives et accessibles sans formation particulière dans les secteurs de la production et des services (arrêts du Tribunal fédéral 9C_692/2015 du 23 février 2016 consid. 3.1, 9C_843/2012 du 1er mars 2013 consid. 33, 9C_1066/2009 du 22 septembre 2010 consid. 4.2, 9C_361/2008 du 9 février 2009 consid. 6.1 et 9C_279/2008 du 16 décembre 2008 consid. 4) et de l’absence d’abattement en raison des limitations liées au handicap si celles-ci ont déjà été prises en compte lors de l’appréciation de la capacité résiduelle de travail (ATF 142 V 178 consid. 1.4 et 2.5.9, arrêts du Tribunal fédéral 9C_497/2020 du 25 juin 2021 consid. 5.2.2, 9C_115/2018 du 5 juillet 2018 consid. 5.2 et 8C_521/2016 du 19 mai 2017 consid. 5.1 et les références, arrêts du Tribunal fédéral des assurances I 493/05 du 22 décembre 2005 consid. 4.4.2, I 254/05 du 22 août 2005 consid. 4, U 21/03 du 25 août 2003 consid. 4.2.2 et I 724/02 du 10 janvier 2003 consid. 4.2.2). Il convient de citer également les jurisprudences traitant des facteurs de réduction – non automatique et de 25% au maximum – du salaire statistique (ATF 129 V 472 consid. 4.2.1 et 4.2.3, 126 V 75 consid. 3 et 5 et 124 V 321 consid. 3b/aa, arrêt du Tribunal fédéral 9C_481/2017 du 1er décembre 2017 consid. 5.2, arrêt du Tribunal fédéral des assurances I 724/02 précité consid. 4.2.1), du caractère exceptionnel d’une déduction maximale de 25% (arrêt du Tribunal fédéral 9C_418/2008 du 17 septembre 2008 consid. 3.3.2), de la non-justification d’une déduction à cause de l’âge (ATF 126 V 75 consid. 5a/cc, Pratique VSI 1999 246 consid. 4c, arrêts du Tribunal fédéral 9C_158/2016 du</w:t>
      </w:r>
    </w:p>
    <w:p>
      <w:r>
        <w:rPr>
          <w:b/>
        </w:rPr>
        <w:t>E. 5</w:t>
      </w:r>
    </w:p>
    <w:p>
      <w:r>
        <w:t>avril 2016 consid. 4.2.2 et la référence, 8C_808/2013 du 14 février 2014 consid. 7.3 et les références, 8C_529/2007 du 23 mai 2008 consid. 4.1 et 8C_321/2007 du 6 mai 2008 consid. 8.2.2, arrêt du Tribunal fédéral des assurances I 92/06 du 16 août 2006 consid. 6.3) et des années de service (ATF 126 V 75 consid. 5a/cc, Pratique VSI 2000 314 consid. 5a/cc et 1999 246 consid. 4c, arrêt du Tribunal fédéral 8C_529/2007 du 23 mai</w:t>
      </w:r>
    </w:p>
    <w:p>
      <w:r>
        <w:t>- 28 - 2008 consid. 4.2) en relation avec une activité simple, répétitive et ne nécessitant pas de formation et, enfin, de l’application d’un abattement de 5% tout au plus au seul motif d’une capacité de travail réduite d’un homme dans une activité adaptée (arrêt du Tribunal fédéral 9C_142/2009 du 20 novembre 2009 consid. 4.2, arrêts du Tribunal fédéral des assurances I 785/02 du 23 janvier 2004 consid. 4.5 et la référence et I 724/02 du</w:t>
      </w:r>
    </w:p>
    <w:p>
      <w:r>
        <w:rPr>
          <w:b/>
        </w:rPr>
        <w:t>E. 5.1</w:t>
      </w:r>
    </w:p>
    <w:p>
      <w:r>
        <w:t>Les frais de justice, arrêtés à 500 fr. en fonction de l’importance de la procédure (art. 61 let. a aLPGA, 83 LPGA et 69 al. 1bis LAI), sont mis à la charge de la recourante qui succombe (art. 1 al. 2, 81a al. 2 et 89 al. 1 LPJA) et compensés avec l’avance du même montant qu’elle a versée le 9 octobre 2019.</w:t>
      </w:r>
    </w:p>
    <w:p>
      <w:r>
        <w:rPr>
          <w:b/>
        </w:rPr>
        <w:t>E. 5.2</w:t>
      </w:r>
    </w:p>
    <w:p>
      <w:r>
        <w:t>Eu égard à l'issue de la cause, il n'est pas alloué de dépens à la recourante (art. 61 let. g LPGA a contrario), pas plus qu’à l’intimé (art. 91 al. 3 LPJA).</w:t>
      </w:r>
    </w:p>
    <w:p>
      <w:r>
        <w:t>Prononce</w:t>
      </w:r>
    </w:p>
    <w:p>
      <w:r>
        <w:t>1. Le recours est rejeté. 2. Les frais, arrêtés à 500 francs, sont mis à la charge de l’hoirie de feu X _________. 3. Il n’est pas alloué de dépens.</w:t>
      </w:r>
    </w:p>
    <w:p>
      <w:r>
        <w:t>Sion, le 31 mars 2022</w:t>
      </w:r>
    </w:p>
    <w:p>
      <w:r>
        <w:rPr>
          <w:b/>
        </w:rPr>
        <w:t>E. 10</w:t>
      </w:r>
    </w:p>
    <w:p>
      <w:r>
        <w:t>janvier 2003 consid. 4.2.2). Concernant ce dernier point, le Tribunal fédéral a relevé par la suite qu’au contraire d’une capacité de travail partielle dans une activité adaptée exercée par un homme, une diminution de rendement dans une telle activité exigible à plein temps ne justifiait pas de retenir, en sus, une réduction du salaire statistique en raison du handicap (arrêts 9C_582/2011 du 3 novembre 2011 consid. 3.1, 9C_40/2011 du 1er avril 2011 consid. 2.3.1, 8C_827/2009 du 26 avril 2010 consid. 4.2.1, 9C_980/2008 du 4 mars 2009 consid. 3.1.2, 8C_765/2007 du 11 juillet 2008 consid. 4.3.3, 9C_344/2008 du 5 juin 2008 consid. 4 et I 69/07 du 2 novembre 2007 consid. 5.1). Enfin, lors de l’adaptation à l’évolution des salaires en vue de la fixation des revenus avec et sans invalidité, il convient de différencier en fonction du sexe (arrêt du Tribunal fédéral 8C_72/2019 du 11 juin 2019 consid. 4.1, paru in SVR 2019 IV Nr. 88). 3.2 Dans sa réponse du 5 novembre 2019, l’intimé a pertinemment contredit, en citant la jurisprudence en la matière, l’argument invoqué dans le recours du 3 octobre 2019, selon lequel les limitations physiques de l’assuré étaient si contraignantes qu’elles excluaient l’exigibilité réaliste d’une activité adaptée à sa situation. En date du 29 octobre 2014, le Dr A _________ a considéré qu’une réadaptation professionnelle était envisageable dans une activité adaptée comme celle de magasinier (pièce 33). Au cours de l’entretien du 2 décembre suivant, l’Office AI a également évoqué le poste de magasinier parmi d’autres emplois adaptés, tels que ceux de gestionnaire de stocks ou d’ouvrier d’usine (pièce 41). Concernant cette dernière occupation, des travaux fins dans l’industrie légère, notamment l’horlogerie, apparaissaient tout à fait conformes à l’état de santé physique de l’assuré qui, selon ses propres déclarations lors de l’examen de médecine interne générale au I _________, faisait tous les jours de la peinture à l’huile (pièce 159). De plus et contrairement à ce qui a été allégué dans la réplique du 28 novembre 2019, les activités de surveillance (de parkings souterrains, de centres commerciaux ou de grands magasins par exemple) et de contrôle (en particulier de chaînes de production), qui ont été mentionnées dans la réponse au recours, n’étaient pas abstraites et existaient en suffisance sur un marché du travail réputé équilibré au sens de l’article 16 LPGA.</w:t>
      </w:r>
    </w:p>
    <w:p>
      <w:r>
        <w:t>- 29 - Au vu de ce qui précède, le revenu annuel d’invalide se calcule comme suit : 5312 fr. + 0.3% (site internet de l’OFS ; onglets : « trouver des statistiques », « travail et rémunération », « salaires, revenu professionnel et coût du travail », tableau « évolution des salaires nominaux, des prix à la consommation et des salaires réels » : salaires nominaux, variation par rapport à l'année précédente, 2015, hommes) = (5327 fr. 94 : 40) x 41.7 (site internet de l’OFS ; onglets : « trouver des statistiques », « travail et rémunération », « durée normale du travail dans les entreprises (DNT) », tableau « durée normale du travail dans les entreprises selon la division économique (NOGA 2008), en heures par semaine » : total, 2015) = 5554 fr. 38 x 12 = 66 652 fr. 56 x 70% = 46 656 fr. 80. Alors que la recourante a semblé en douter dans ses écritures des 3 octobre et 28 novembre 2019, la décision querellée comporte donc bien la diminution de rendement de 30%, par le biais de la capacité de travail résiduelle de 70%. Contrairement à ce qui a été appliqué dans la décision entreprise et allégué dans le recours, la Cour estime qu’aucune déduction pour activité légère ne se justifie en l’espèce. Les limitations fonctionnelles physiques ont déjà été prises en compte par la baisse de rendement de 30% dans une activité adaptée auxdites limitations (pièces 159 et 191), de sorte qu’elles ne sauraient l’être une seconde fois au moyen d’une réduction correspondante du salaire statistique topique dans le cadre du calcul du revenu d’invalide. A la date de l’exigibilité d’une telle activité à un rendement diminué de 30%, soit le 29 juillet 2015 (pièces 159 et 191), l’assuré était âgé de cinquante-sept ans (pièces 9 et 23, page 42). Durant plus de cinq ans avant la survenance, le 23 mai 2014, de l’incapacité totale de travail, il a pratiquement toujours travaillé dans le cadre de missions temporaires auprès d’agences de placement de personnel (pièces 9 et 26). De toute manière, une déduction motivée par l’âge ou les années de service ne se justifie pas relativement à une activité simple, répétitive et ne nécessitant pas de formation. L’assuré, de nationalité portugaise, a vécu en Suisse de 1977 à 1991 puis dès 2007 (pièce 43) et était titulaire d’un permis d’établissement (pièce 23, page 42). Aucun abattement ne saurait donc être retenu au titre de la nationalité et de l’autorisation de séjour. Il ressort enfin de la jurisprudence exposée ci-dessus, d’ailleurs reprise dans le nouvel article 26bis alinéa 3 RAI, que dans le cas d’un homme, seul un taux d’occupation réduit dans une activité adaptée, mais non un rendement diminué dans une telle activité exigible à plein temps, permet de procéder à un abattement du salaire statistique à retenir lors de la détermination du gain d’invalide. Tant les experts du I _________, dans leurs conclusions du 27 août 2018 (pièce 159), que le médecin du SMR, dans son rapport final du 15 mars 2019 (pièce 191), ont jugé que dans une activité adaptée, la capacité de travail était totale en temps, avec une diminution de rendement de 30%. En</w:t>
      </w:r>
    </w:p>
    <w:p>
      <w:r>
        <w:t>- 30 - conséquence, la déduction de 5% opérée par l’Office AI dans la décision entreprise n’est pas justifiée et le revenu d’invalide déterminant de l’assuré se chiffre à 46 646 fr. 80 par an. 4.1 Le gain annuel sans invalidité de 64 920 fr. 90 figurant dans la décision attaquée a également été critiqué par la recourante qui, dans ses écritures des 3 octobre puis 28 novembre 2019, l’a évalué à 80 064 francs. En ce qui concerne la détermination du revenu sans invalidité, est déterminant le salaire que la personne assurée aurait, au degré de la vraisemblance prépondérante, effectivement gagné en tant que valide au début du droit à la rente au plus tôt. Ce revenu doit être déterminé aussi concrètement que possible. C’est en principe le dernier revenu touché, au besoin adapté au renchérissement et à l’évolution réelle des salaires, qui doit être retenu car c’est un fait d’expérience que, sans atteinte à la santé, l’activité antérieure aurait été poursuivie. Les exceptions à ce principe sont à établir au degré de la vraisemblance prépondérante (ATF 134 V 322 consid. 4.1 et 129 V 222 consid. 4.3.1, arrêt du Tribunal fédéral 9C_413/2017 du 19 septembre 2017 consid. 3.2.1 et les références). Si les circonstances concrètes ne permettent pas de chiffrer le gain réalisable sans atteinte à la santé de manière suffisamment précise, des valeurs statistiques telles que celles de l’ESS peuvent être utilisées, tant que les éléments personnels et professionnels déterminants pour la rémunération dans le cas d’espèce sont pris en considération. Le choix de la table applicable doit reproduire au mieux l’évolution hautement vraisemblable du revenu sans atteinte à la santé. A cet égard, le revenu de valide ne correspond pas à une dimension passée mais hypothétique (arrêt du Tribunal fédéral 8C_572/2021 du 19 janvier 2022 consid. 3.1 et les références). Selon l’exposé du Tribunal fédéral au considérant 3.3 de l’arrêt 9C_901/2017 du 28 mai 2018 et au considérant 4.1 de l’arrêt 9C_370/2019 du 10 juillet 2019, depuis la dixième édition de l’ESS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 mêmes. Quatre niveaux de compétences ont été définis en fonction de neuf groupes de profession (voir tableau T17 de l'ESS 2012 p. 44) et du type de travail, de la formation nécessaire à la pratique de la profession et de l'expérience professionnelle (voir tableau TA1_skill_level de l'ESS 2012 et ATF 142 V 178 consid. 2.5.3).</w:t>
      </w:r>
    </w:p>
    <w:p>
      <w:r>
        <w:t>- 31 - Au considérant 7.4.1 de son arrêt 8C_131/2021 du 2 août 2021, paru in SVR 2022 UV Nr. 3, le Tribunal fédéral a en outre apporté, exemples à l’appui, certains éclaircissement relatifs aux niveaux d’exigences selon l’ESS. Il a notamment indiqué que l’application du niveau de compétences 2 (tâches pratiques) ou, jusqu’à l’ESS 2010, du niveau des qualifications requises 3 (connaissances professionnelles spécialisées) ne se justifiait que si la personne assurée disposait d’aptitudes et de connaissances particulières. Faute de telles aptitudes et connaissances, il faut se baser sur la valeur centrale du niveau de compétences 1 (tâches physiques ou manuelles simples) ou, jusqu’à l’ESS 2010, du niveau des qualifications requises 4 (activités simples et répétitives). 4.2 L’argumentation développée dans le recours du 3 octobre 2019 et surtout dans la réplique du 28 novembre suivant au sujet de la référence, dans le cadre de la détermination du revenu de valide, au niveau de compétences 2 (tâches pratiques telles que la vente, les soins, le traitement de données et les tâches administratives, l’utilisation de machines et d’appareils électroniques, les services de sécurité, la conduite de véhicules) plutôt que 1 (tâches physiques ou manuelles simples) de l’ESS 2014 se révèle fondée. Dans cette dernière écriture, la recourante a exprimé à juste titre son incompréhension face au fait que le salaire statistique mensuel de 5312 fr. ayant servi de base au gain d’invalide était plus élevé que celui de 5174 fr. à l’origine du revenu sans invalidité. Comme l’Office AI l’a d’ailleurs lui-même indiqué dans sa réponse du 5 novembre 2019 en citant les arrêts susmentionnés 9C_901/2017 et 9C_370/2019, l'accent est mis, depuis l’ESS 2012, sur le type de tâches que la personne concernée est susceptible d'assumer en fonction de ses qualifications (niveau de ses compétences), et non plus sur les qualifications en elles-mêmes. L’intimé ne saurait toutefois être suivi dans ses allégations des 5 novembre et 17 décembre 2019. D’après celles-ci, l’assuré effectuait, dans son activité de menuisier sans formation certifiée, des tâches manuelles simples qui rejoignaient le descriptif des compétences du niveau 1 selon l’ESS. Il avait cessé toute activité dans le domaine de la menuiserie pendant de nombreuses années puis accompli des missions temporaires dans différentes entreprises. Son expérience professionnelle ne justifiait donc pas le recours au niveau de compétences 2. Le parcours professionnel ressortant du curriculum vitae de l’assuré (pièce 43), ainsi que les activités que celui-ci effectuait en tant que menuisier-charpentier selon les informations recueillies lors de l’entretien du 2 décembre 2014 auprès de l’Office AI (pièce 41), ne correspondent toutefois pas au résumé que dit office en a fait dans sa duplique du 17 décembre 2019. Au contraire, l’assuré a toujours œuvré dans le domaine</w:t>
      </w:r>
    </w:p>
    <w:p>
      <w:r>
        <w:t>- 32 - de la construction, de 1977 à 1991 puis dès 2007 en Suisse et de 1992 à 2006 aux Etats- Unis. Il a alors occupé les postes de responsable de logistique à la tête d’une équipe de onze personnes, de contremaître et de chef de chantier. Il a aussi travaillé en tant qu’indépendant, avec une équipe de sept personnes (pièce 43). Les travaux de menuiserie et de charpenterie, d’isolation et de décoration, de même que des tâches telles que la commande de marchandises, la gestion des plannings et la lecture de plans, qui ont été énumérés au cours de l’entretien susmentionné, ne sauraient s’apparenter à des activités physiques ou manuelles simples du niveau de compétences 1. Il s’agit bien plutôt là d’activités pratiques incluant l’utilisation de machines et d’appareils électroniques ainsi que la conduite de véhicules et, en sus, de tâches administratives, lesquelles relèvent du niveau de compétences 2. Conformément aux motifs de l’arrêt précité 8C_131/2021, l’assuré disposait ainsi d’aptitudes et de connaissances particulières exigées pour recourir à ce dernier niveau de compétences, en lieu et place du niveau inférieur 1. Se référant à l’arrêt du Tribunal fédéral 8C_599/2016 du</w:t>
      </w:r>
    </w:p>
    <w:p>
      <w:r>
        <w:rPr>
          <w:b/>
        </w:rPr>
        <w:t>E. 15</w:t>
      </w:r>
    </w:p>
    <w:p>
      <w:r>
        <w:t>novembre 2016, l’intimé a argué que l’expérience professionnelle seule ne compensait pas un manque de formation professionnelle reconnue. Il convient toutefois de replacer cette affirmation dans le contexte factuel de l’arrêt en question, lequel diffère du présent état de fait. Dans le cas ayant donné lieu à cet arrêt, l’assurée, au bénéfice d’un apprentissage de laborantine en chimie terminé avec succès, concluait à la fixation du revenu de valide sur la base du niveau des qualifications requises 2 (travail indépendant et très qualifié) plutôt que 3 (connaissances professionnelles spécialisées) de l’ESS 2010. De plus, l’expérience professionnelle particulière qu’elle invoquait devait être relativisée, étant donné qu’après son retour à la vie active, elle avait accompli durant six ans du travail à domicile non qualifié sans rapport avec sa formation de laborantine en chimie, bien qu’elle aurait incontestablement pu exercer la profession apprise au cours de cette période (arrêt précité 8C_599/2016 consid. 3.3). Ces considérations ne s’appliquent toutefois en l’espèce, puisque l’assuré n’a jamais cessé d’être actif dans le secteur de la construction. En conséquence, le revenu annuel d’invalide se calcule comme suit : 5847 fr. (ESS 2014, table précitée « TA1_tirage_skill_level », secteur 16-18 « industries du bois et du papier, imprimerie », niveau de compétences 2, hommes) + 0.3% = (5864 fr. 54 : 40) x 41.7 (tableau précité « durée normale du travail dans les entreprises selon la division économique (NOGA 2008), en heures par semaine » : secteur 16-18 « industries du bois et du papier, imprimerie », 2015) = 6113 fr. 78 x 12 = 73 365 fr. 35. Pour répondre à la remarque correspondante que l’intimé a formulée dans sa détermination du</w:t>
      </w:r>
    </w:p>
    <w:p>
      <w:r>
        <w:rPr>
          <w:b/>
        </w:rPr>
        <w:t>E. 17</w:t>
      </w:r>
    </w:p>
    <w:p>
      <w:r>
        <w:t>décembre 2019, ce gain de valide de 73 365 fr. 35 n’est guère éloigné du salaire de</w:t>
      </w:r>
    </w:p>
    <w:p>
      <w:r>
        <w:t>- 33 - 72 456 fr. que l’assuré a réalisé durant l’année 2008, en travaillant dans le domaine de la construction. 4.3 La comparaison entre les deux revenus de 46 656 fr. 80 et de 73 365 fr. 35 selon l’article 16 LPGA aboutit à un taux d’invalidité de 36.4% au 29 juillet 2015 (pièce 191). Au vu de l’article 28 alinéa 2 aLAI, ce taux est toutefois insuffisant pour ouvrir le droit à une rente d’invalidité. Il conduit ainsi à la suppression, au 31 octobre 2015, de la rente entière d’invalidité octroyée dès le 1er mai 2015, conformément à l’article 88a alinéa 1 RAI. Partant, le recours est rejeté et la décision de l’Office AI du 2 septembre 2019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